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7790" w14:textId="77777777" w:rsidR="00F9293D" w:rsidRDefault="00F9293D">
      <w:pPr>
        <w:pStyle w:val="BodyA"/>
        <w:spacing w:before="70" w:line="232" w:lineRule="auto"/>
        <w:ind w:left="317" w:right="360" w:hanging="172"/>
        <w:jc w:val="both"/>
        <w:sectPr w:rsidR="00F9293D">
          <w:headerReference w:type="default" r:id="rId7"/>
          <w:footerReference w:type="default" r:id="rId8"/>
          <w:pgSz w:w="11900" w:h="16820"/>
          <w:pgMar w:top="960" w:right="660" w:bottom="1160" w:left="1180" w:header="720" w:footer="360" w:gutter="0"/>
          <w:pgNumType w:start="1"/>
          <w:cols w:num="2" w:space="720" w:equalWidth="0">
            <w:col w:w="3840" w:space="4843"/>
            <w:col w:w="1377" w:space="0"/>
          </w:cols>
        </w:sectPr>
      </w:pPr>
      <w:bookmarkStart w:id="0" w:name="_GoBack"/>
      <w:bookmarkEnd w:id="0"/>
    </w:p>
    <w:p w14:paraId="62AEC672" w14:textId="77777777" w:rsidR="00F9293D" w:rsidRDefault="004E5A20">
      <w:pPr>
        <w:pStyle w:val="BodyA"/>
        <w:widowControl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Job Title: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Treasurer</w:t>
      </w:r>
      <w:r>
        <w:rPr>
          <w:noProof/>
          <w:sz w:val="32"/>
          <w:szCs w:val="32"/>
          <w:lang w:val="en-US"/>
        </w:rPr>
        <w:drawing>
          <wp:anchor distT="57150" distB="57150" distL="57150" distR="57150" simplePos="0" relativeHeight="251659264" behindDoc="0" locked="0" layoutInCell="1" allowOverlap="1" wp14:anchorId="077586D5" wp14:editId="42C24C55">
            <wp:simplePos x="0" y="0"/>
            <wp:positionH relativeFrom="page">
              <wp:posOffset>5847079</wp:posOffset>
            </wp:positionH>
            <wp:positionV relativeFrom="page">
              <wp:posOffset>440450</wp:posOffset>
            </wp:positionV>
            <wp:extent cx="1290321" cy="524750"/>
            <wp:effectExtent l="0" t="0" r="0" b="0"/>
            <wp:wrapSquare wrapText="bothSides" distT="57150" distB="57150" distL="57150" distR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1" cy="524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FFFC45" w14:textId="77777777" w:rsidR="00F9293D" w:rsidRDefault="00F9293D">
      <w:pPr>
        <w:pStyle w:val="BodyA"/>
        <w:widowControl/>
        <w:rPr>
          <w:sz w:val="32"/>
          <w:szCs w:val="32"/>
          <w:lang w:val="en-US"/>
        </w:rPr>
      </w:pPr>
    </w:p>
    <w:p w14:paraId="287DE2BF" w14:textId="77777777" w:rsidR="00F9293D" w:rsidRDefault="00F9293D">
      <w:pPr>
        <w:pStyle w:val="BodyA"/>
        <w:widowControl/>
        <w:rPr>
          <w:sz w:val="32"/>
          <w:szCs w:val="32"/>
          <w:lang w:val="en-US"/>
        </w:rPr>
      </w:pPr>
    </w:p>
    <w:p w14:paraId="007080A6" w14:textId="77777777" w:rsidR="00F9293D" w:rsidRDefault="004E5A20">
      <w:pPr>
        <w:pStyle w:val="BodyA"/>
        <w:widowControl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About Stepping Stone</w:t>
      </w:r>
    </w:p>
    <w:p w14:paraId="770409D0" w14:textId="77777777" w:rsidR="00F9293D" w:rsidRDefault="004E5A2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Stepping Stones (Luton) is a charity dedicated to empowering women who have suffered domestic abuse or are vulnerable due to substance </w:t>
      </w:r>
      <w:r>
        <w:rPr>
          <w:rFonts w:ascii="Arial" w:hAnsi="Arial"/>
          <w:sz w:val="24"/>
          <w:szCs w:val="24"/>
        </w:rPr>
        <w:t>misuse by providing hope and the skills and resources to make positive life choices.</w:t>
      </w:r>
    </w:p>
    <w:p w14:paraId="70F96287" w14:textId="77777777" w:rsidR="00F9293D" w:rsidRDefault="004E5A20">
      <w:pPr>
        <w:pStyle w:val="BodyA"/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Since being founded in 2008 the service has adapted based on the needs of our clients. It has led to the development of a broad set of services that includes </w:t>
      </w:r>
      <w:r>
        <w:rPr>
          <w:sz w:val="24"/>
          <w:szCs w:val="24"/>
          <w:lang w:val="en-US"/>
        </w:rPr>
        <w:t>dedicated adult and children support programmes. Our portfolio of services reflects this evolution and is fully geared to meet a wide range of needs and fully integrates with partner agencies working locally.</w:t>
      </w:r>
    </w:p>
    <w:p w14:paraId="2A45C510" w14:textId="77777777" w:rsidR="00F9293D" w:rsidRDefault="00F9293D">
      <w:pPr>
        <w:pStyle w:val="Default"/>
        <w:rPr>
          <w:rFonts w:ascii="Arial" w:eastAsia="Arial" w:hAnsi="Arial" w:cs="Arial"/>
          <w:color w:val="101010"/>
          <w:sz w:val="24"/>
          <w:szCs w:val="24"/>
          <w:u w:color="101010"/>
        </w:rPr>
      </w:pPr>
    </w:p>
    <w:p w14:paraId="51A5BF91" w14:textId="77777777" w:rsidR="00F9293D" w:rsidRDefault="004E5A20">
      <w:pPr>
        <w:pStyle w:val="BodyA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>General trustee responsibilities</w:t>
      </w:r>
    </w:p>
    <w:p w14:paraId="5EB305D3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ensure tha</w:t>
      </w:r>
      <w:r>
        <w:rPr>
          <w:sz w:val="24"/>
          <w:szCs w:val="24"/>
          <w:lang w:val="en-US"/>
        </w:rPr>
        <w:t xml:space="preserve">t the organisation complies with its governing document, charity law, company law and any other relevant legislation or regulations. </w:t>
      </w:r>
    </w:p>
    <w:p w14:paraId="14F35BED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ensure that the organisation pursues its objects as defined in its governing document. </w:t>
      </w:r>
    </w:p>
    <w:p w14:paraId="571A58A1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ensure the organisation applies its resources exclusively in pursuance of its objects (the charity must not spend money on activities which are not included in it</w:t>
      </w:r>
      <w:r>
        <w:rPr>
          <w:sz w:val="24"/>
          <w:szCs w:val="24"/>
          <w:lang w:val="en-US"/>
        </w:rPr>
        <w:t xml:space="preserve">s own objects, no matter how worthwhile or charitable those activities are). </w:t>
      </w:r>
    </w:p>
    <w:p w14:paraId="28C707E9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contribute actively to the board of trustees' role in giving firm strategic direction to the organisation, setting overall policy, defining goals and setting targets and evalu</w:t>
      </w:r>
      <w:r>
        <w:rPr>
          <w:sz w:val="24"/>
          <w:szCs w:val="24"/>
          <w:lang w:val="en-US"/>
        </w:rPr>
        <w:t xml:space="preserve">ating performance against agreed targets. </w:t>
      </w:r>
    </w:p>
    <w:p w14:paraId="76872CF0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safeguard the good name and values of the organisation. </w:t>
      </w:r>
    </w:p>
    <w:p w14:paraId="3AD3F557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ensure the effective and efficient administration of the organisation. </w:t>
      </w:r>
    </w:p>
    <w:p w14:paraId="7077D1B6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ensure the financial stability of the organisation. </w:t>
      </w:r>
    </w:p>
    <w:p w14:paraId="3FB51B6B" w14:textId="77777777" w:rsidR="00F9293D" w:rsidRDefault="004E5A20">
      <w:pPr>
        <w:pStyle w:val="BodyA"/>
        <w:widowControl/>
        <w:numPr>
          <w:ilvl w:val="0"/>
          <w:numId w:val="2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protect and manage </w:t>
      </w:r>
      <w:r>
        <w:rPr>
          <w:sz w:val="24"/>
          <w:szCs w:val="24"/>
          <w:lang w:val="en-US"/>
        </w:rPr>
        <w:t>the property of the charity and to ensure the proper investment of the charity's funds.</w:t>
      </w:r>
    </w:p>
    <w:p w14:paraId="21E9ABB8" w14:textId="77777777" w:rsidR="00F9293D" w:rsidRDefault="00F9293D">
      <w:pPr>
        <w:pStyle w:val="BodyA"/>
        <w:rPr>
          <w:sz w:val="24"/>
          <w:szCs w:val="24"/>
          <w:lang w:val="en-US"/>
        </w:rPr>
      </w:pPr>
    </w:p>
    <w:p w14:paraId="1C6D6F23" w14:textId="77777777" w:rsidR="00F9293D" w:rsidRDefault="00F9293D">
      <w:pPr>
        <w:pStyle w:val="BodyA"/>
        <w:widowControl/>
        <w:rPr>
          <w:sz w:val="24"/>
          <w:szCs w:val="24"/>
          <w:lang w:val="en-US"/>
        </w:rPr>
      </w:pPr>
    </w:p>
    <w:p w14:paraId="2D4D5B85" w14:textId="77777777" w:rsidR="00F9293D" w:rsidRDefault="00F9293D">
      <w:pPr>
        <w:pStyle w:val="BodyA"/>
        <w:widowControl/>
        <w:rPr>
          <w:sz w:val="24"/>
          <w:szCs w:val="24"/>
          <w:lang w:val="en-US"/>
        </w:rPr>
      </w:pPr>
    </w:p>
    <w:p w14:paraId="0BBCD3F0" w14:textId="77777777" w:rsidR="00F9293D" w:rsidRDefault="004E5A20">
      <w:pPr>
        <w:pStyle w:val="BodyA"/>
        <w:widowControl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Main Responsibilities of the Treasurer</w:t>
      </w:r>
    </w:p>
    <w:p w14:paraId="661B50C3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Overseeing, approving and presenting budgets, accounts and financial statements </w:t>
      </w:r>
    </w:p>
    <w:p w14:paraId="40F639FB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Being assured that the financial resources of</w:t>
      </w:r>
      <w:r>
        <w:rPr>
          <w:sz w:val="24"/>
          <w:szCs w:val="24"/>
          <w:lang w:val="en-US"/>
        </w:rPr>
        <w:t xml:space="preserve"> the organisation meet its present and future needs </w:t>
      </w:r>
    </w:p>
    <w:p w14:paraId="411B36AA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Ensuring that the charity has an appropriate reserves policy </w:t>
      </w:r>
    </w:p>
    <w:p w14:paraId="4C0CE17D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preparation and presentation of financial reports to the board </w:t>
      </w:r>
    </w:p>
    <w:p w14:paraId="25334810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Ensuring that appropriate accounting procedures and controls are in place</w:t>
      </w:r>
      <w:r>
        <w:rPr>
          <w:sz w:val="24"/>
          <w:szCs w:val="24"/>
          <w:lang w:val="en-US"/>
        </w:rPr>
        <w:t xml:space="preserve"> </w:t>
      </w:r>
    </w:p>
    <w:p w14:paraId="3B604483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Advising on the financial implications of the organisation's strategic plans </w:t>
      </w:r>
    </w:p>
    <w:p w14:paraId="77311FFE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Ensuring the organisation's compliance with legislation </w:t>
      </w:r>
    </w:p>
    <w:p w14:paraId="32A53B46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Ensuring equipment and assets are adequately maintained and insured </w:t>
      </w:r>
    </w:p>
    <w:p w14:paraId="07DFCAC5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Ensuring that the accounts are prepared and disclo</w:t>
      </w:r>
      <w:r>
        <w:rPr>
          <w:sz w:val="24"/>
          <w:szCs w:val="24"/>
          <w:lang w:val="en-US"/>
        </w:rPr>
        <w:t xml:space="preserve">sed in the form required by funders and the relevant statutory bodies, e.g. The charity commission and/or the registrar of companies </w:t>
      </w:r>
    </w:p>
    <w:p w14:paraId="2F728EFB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Submitting the annual confirmation statement to Companies House</w:t>
      </w:r>
    </w:p>
    <w:p w14:paraId="58E3FB7D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Assisting with or preparation of bid documents for funders</w:t>
      </w:r>
      <w:r>
        <w:rPr>
          <w:sz w:val="24"/>
          <w:szCs w:val="24"/>
          <w:lang w:val="en-US"/>
        </w:rPr>
        <w:t xml:space="preserve"> and subsequent financial reports to funders</w:t>
      </w:r>
    </w:p>
    <w:p w14:paraId="3D33CF1D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Keeping the board informed about its financial duties and responsibilities </w:t>
      </w:r>
    </w:p>
    <w:p w14:paraId="079D6A2C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Contributing to the fundraising strategy of the organisation </w:t>
      </w:r>
    </w:p>
    <w:p w14:paraId="3CFEDD45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Making a formal presentation of the accounts at the annual general meetin</w:t>
      </w:r>
      <w:r>
        <w:rPr>
          <w:sz w:val="24"/>
          <w:szCs w:val="24"/>
          <w:lang w:val="en-US"/>
        </w:rPr>
        <w:t xml:space="preserve">g and drawing attention to important points in a coherent and easily understandable way </w:t>
      </w:r>
    </w:p>
    <w:p w14:paraId="187B7E41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Sitting on appraisal, recruitment and disciplinary panels as required</w:t>
      </w:r>
    </w:p>
    <w:p w14:paraId="54A74374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Preparing monthly payroll using Sage software</w:t>
      </w:r>
    </w:p>
    <w:p w14:paraId="2FD389B1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Authorising payments</w:t>
      </w:r>
    </w:p>
    <w:p w14:paraId="615608E4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Countersigning cheques</w:t>
      </w:r>
    </w:p>
    <w:p w14:paraId="3C9FF882" w14:textId="77777777" w:rsidR="00F9293D" w:rsidRDefault="00F9293D">
      <w:pPr>
        <w:pStyle w:val="BodyA"/>
        <w:widowControl/>
        <w:tabs>
          <w:tab w:val="left" w:pos="720"/>
        </w:tabs>
        <w:rPr>
          <w:sz w:val="24"/>
          <w:szCs w:val="24"/>
          <w:lang w:val="en-US"/>
        </w:rPr>
      </w:pPr>
    </w:p>
    <w:p w14:paraId="600D595C" w14:textId="77777777" w:rsidR="00F9293D" w:rsidRDefault="00F9293D">
      <w:pPr>
        <w:pStyle w:val="BodyA"/>
        <w:widowControl/>
        <w:tabs>
          <w:tab w:val="left" w:pos="720"/>
        </w:tabs>
        <w:rPr>
          <w:sz w:val="24"/>
          <w:szCs w:val="24"/>
          <w:lang w:val="en-US"/>
        </w:rPr>
      </w:pPr>
    </w:p>
    <w:p w14:paraId="7B29F8DB" w14:textId="77777777" w:rsidR="00F9293D" w:rsidRDefault="00F9293D">
      <w:pPr>
        <w:pStyle w:val="BodyA"/>
        <w:widowControl/>
        <w:rPr>
          <w:sz w:val="24"/>
          <w:szCs w:val="24"/>
          <w:lang w:val="en-US"/>
        </w:rPr>
      </w:pPr>
    </w:p>
    <w:p w14:paraId="143CF2FB" w14:textId="77777777" w:rsidR="00F9293D" w:rsidRDefault="004E5A20">
      <w:pPr>
        <w:pStyle w:val="BodyA"/>
        <w:widowControl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Qualities of a Treasurer</w:t>
      </w:r>
      <w:r>
        <w:rPr>
          <w:rFonts w:ascii="Arial Unicode MS" w:hAnsi="Arial Unicode MS"/>
          <w:sz w:val="24"/>
          <w:szCs w:val="24"/>
          <w:lang w:val="en-US"/>
        </w:rPr>
        <w:br/>
      </w:r>
    </w:p>
    <w:p w14:paraId="01423FC2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Commitment to the organisation </w:t>
      </w:r>
    </w:p>
    <w:p w14:paraId="6594AE45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Willingness to devote the necessary time and effort </w:t>
      </w:r>
    </w:p>
    <w:p w14:paraId="13EE8122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Strategic vision </w:t>
      </w:r>
    </w:p>
    <w:p w14:paraId="3FDCC227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Good, independent judgment </w:t>
      </w:r>
    </w:p>
    <w:p w14:paraId="131132FA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Ability to think creatively </w:t>
      </w:r>
    </w:p>
    <w:p w14:paraId="15DD6E60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Willingness to speak their mind </w:t>
      </w:r>
    </w:p>
    <w:p w14:paraId="6AE00C46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Understanding and acceptance of the legal duties, responsibilities and liabilities of trusteeship </w:t>
      </w:r>
    </w:p>
    <w:p w14:paraId="3043CA7F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Ability to work effectively as a member of a team </w:t>
      </w:r>
    </w:p>
    <w:p w14:paraId="33BC47B9" w14:textId="77777777" w:rsidR="00F9293D" w:rsidRDefault="004E5A20">
      <w:pPr>
        <w:pStyle w:val="BodyA"/>
        <w:widowControl/>
        <w:numPr>
          <w:ilvl w:val="0"/>
          <w:numId w:val="3"/>
        </w:numPr>
        <w:shd w:val="clear" w:color="auto" w:fill="FFFFFF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Commitment to the organisation</w:t>
      </w:r>
    </w:p>
    <w:p w14:paraId="59185906" w14:textId="77777777" w:rsidR="00F9293D" w:rsidRDefault="00F9293D">
      <w:pPr>
        <w:pStyle w:val="BodyA"/>
        <w:widowControl/>
        <w:rPr>
          <w:sz w:val="24"/>
          <w:szCs w:val="24"/>
          <w:lang w:val="en-US"/>
        </w:rPr>
      </w:pPr>
    </w:p>
    <w:p w14:paraId="161C2CB3" w14:textId="77777777" w:rsidR="00F9293D" w:rsidRDefault="00F9293D">
      <w:pPr>
        <w:pStyle w:val="BodyA"/>
        <w:widowControl/>
        <w:rPr>
          <w:sz w:val="24"/>
          <w:szCs w:val="24"/>
          <w:lang w:val="en-US"/>
        </w:rPr>
      </w:pPr>
    </w:p>
    <w:p w14:paraId="51EB899F" w14:textId="77777777" w:rsidR="00F9293D" w:rsidRDefault="004E5A20">
      <w:pPr>
        <w:pStyle w:val="BodyA"/>
        <w:widowControl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Desirable experience</w:t>
      </w:r>
    </w:p>
    <w:p w14:paraId="540B7440" w14:textId="77777777" w:rsidR="00F9293D" w:rsidRDefault="00F9293D">
      <w:pPr>
        <w:pStyle w:val="BodyA"/>
        <w:widowControl/>
        <w:rPr>
          <w:sz w:val="24"/>
          <w:szCs w:val="24"/>
          <w:lang w:val="en-US"/>
        </w:rPr>
      </w:pPr>
    </w:p>
    <w:p w14:paraId="56778CC5" w14:textId="77777777" w:rsidR="00F9293D" w:rsidRDefault="004E5A20">
      <w:pPr>
        <w:pStyle w:val="BodyA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and experience of current and fundraising</w:t>
      </w:r>
      <w:r>
        <w:rPr>
          <w:sz w:val="24"/>
          <w:szCs w:val="24"/>
          <w:lang w:val="en-US"/>
        </w:rPr>
        <w:t xml:space="preserve"> finance practice relevant to voluntary organisations</w:t>
      </w:r>
    </w:p>
    <w:p w14:paraId="43605362" w14:textId="77777777" w:rsidR="00F9293D" w:rsidRDefault="004E5A20">
      <w:pPr>
        <w:pStyle w:val="BodyA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Knowledge of bookkeeping and financial management </w:t>
      </w:r>
    </w:p>
    <w:p w14:paraId="616BAD11" w14:textId="77777777" w:rsidR="00F9293D" w:rsidRDefault="004E5A20">
      <w:pPr>
        <w:pStyle w:val="BodyA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financial analysis skills.</w:t>
      </w:r>
    </w:p>
    <w:p w14:paraId="7ADB568A" w14:textId="77777777" w:rsidR="00F9293D" w:rsidRDefault="004E5A20">
      <w:pPr>
        <w:pStyle w:val="BodyA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Ability to communicate clearly</w:t>
      </w:r>
    </w:p>
    <w:p w14:paraId="4B93E584" w14:textId="77777777" w:rsidR="00F9293D" w:rsidRDefault="00F9293D">
      <w:pPr>
        <w:pStyle w:val="BodyA"/>
        <w:widowControl/>
        <w:tabs>
          <w:tab w:val="left" w:pos="720"/>
        </w:tabs>
        <w:rPr>
          <w:sz w:val="24"/>
          <w:szCs w:val="24"/>
          <w:lang w:val="en-US"/>
        </w:rPr>
      </w:pPr>
    </w:p>
    <w:p w14:paraId="03D8DCB0" w14:textId="77777777" w:rsidR="00F9293D" w:rsidRDefault="00F9293D">
      <w:pPr>
        <w:pStyle w:val="BodyA"/>
        <w:widowControl/>
        <w:tabs>
          <w:tab w:val="left" w:pos="720"/>
        </w:tabs>
        <w:rPr>
          <w:sz w:val="24"/>
          <w:szCs w:val="24"/>
          <w:lang w:val="en-US"/>
        </w:rPr>
      </w:pPr>
    </w:p>
    <w:p w14:paraId="3196F659" w14:textId="77777777" w:rsidR="00F9293D" w:rsidRDefault="00F9293D">
      <w:pPr>
        <w:pStyle w:val="BodyA"/>
        <w:widowControl/>
        <w:tabs>
          <w:tab w:val="left" w:pos="720"/>
        </w:tabs>
      </w:pPr>
    </w:p>
    <w:sectPr w:rsidR="00F9293D">
      <w:headerReference w:type="default" r:id="rId10"/>
      <w:footerReference w:type="default" r:id="rId11"/>
      <w:type w:val="continuous"/>
      <w:pgSz w:w="11900" w:h="16820"/>
      <w:pgMar w:top="960" w:right="660" w:bottom="1160" w:left="11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1B68" w14:textId="77777777" w:rsidR="00000000" w:rsidRDefault="004E5A20">
      <w:r>
        <w:separator/>
      </w:r>
    </w:p>
  </w:endnote>
  <w:endnote w:type="continuationSeparator" w:id="0">
    <w:p w14:paraId="3CAA55E9" w14:textId="77777777" w:rsidR="00000000" w:rsidRDefault="004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66A8" w14:textId="77777777" w:rsidR="00F9293D" w:rsidRDefault="00F9293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E0B7" w14:textId="77777777" w:rsidR="00F9293D" w:rsidRDefault="00F929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2023" w14:textId="77777777" w:rsidR="00000000" w:rsidRDefault="004E5A20">
      <w:r>
        <w:separator/>
      </w:r>
    </w:p>
  </w:footnote>
  <w:footnote w:type="continuationSeparator" w:id="0">
    <w:p w14:paraId="756EA275" w14:textId="77777777" w:rsidR="00000000" w:rsidRDefault="004E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4C48" w14:textId="77777777" w:rsidR="00F9293D" w:rsidRDefault="004E5A2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5729385" wp14:editId="57923599">
              <wp:simplePos x="0" y="0"/>
              <wp:positionH relativeFrom="page">
                <wp:posOffset>793749</wp:posOffset>
              </wp:positionH>
              <wp:positionV relativeFrom="page">
                <wp:posOffset>9896475</wp:posOffset>
              </wp:positionV>
              <wp:extent cx="6179821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1" cy="0"/>
                      </a:xfrm>
                      <a:prstGeom prst="line">
                        <a:avLst/>
                      </a:prstGeom>
                      <a:noFill/>
                      <a:ln w="915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2.5pt;margin-top:779.2pt;width:486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F1F1815" wp14:editId="06EBADE2">
              <wp:simplePos x="0" y="0"/>
              <wp:positionH relativeFrom="page">
                <wp:posOffset>6109334</wp:posOffset>
              </wp:positionH>
              <wp:positionV relativeFrom="page">
                <wp:posOffset>9945368</wp:posOffset>
              </wp:positionV>
              <wp:extent cx="778510" cy="26543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65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8BF7B13" w14:textId="77777777" w:rsidR="00F9293D" w:rsidRDefault="004E5A20">
                          <w:pPr>
                            <w:pStyle w:val="BodyA"/>
                            <w:spacing w:before="13"/>
                            <w:ind w:left="20"/>
                          </w:pPr>
                          <w:r>
                            <w:rPr>
                              <w:color w:val="343434"/>
                              <w:sz w:val="20"/>
                              <w:szCs w:val="20"/>
                              <w:u w:color="343434"/>
                            </w:rPr>
                            <w:t xml:space="preserve">Page </w:t>
                          </w:r>
                          <w:r>
                            <w:t>1</w:t>
                          </w:r>
                          <w:r>
                            <w:rPr>
                              <w:color w:val="343434"/>
                              <w:spacing w:val="-28"/>
                              <w:sz w:val="20"/>
                              <w:szCs w:val="20"/>
                              <w:u w:color="343434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sz w:val="20"/>
                              <w:szCs w:val="20"/>
                              <w:u w:color="343434"/>
                              <w:lang w:val="en-US"/>
                            </w:rPr>
                            <w:t>of 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81.0pt;margin-top:783.1pt;width:61.3pt;height:20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13"/>
                      <w:ind w:left="20" w:firstLine="0"/>
                    </w:pPr>
                    <w:r>
                      <w:rPr>
                        <w:color w:val="343434"/>
                        <w:sz w:val="20"/>
                        <w:szCs w:val="20"/>
                        <w:u w:color="343434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tl w:val="0"/>
                        <w:lang w:val="da-DK"/>
                      </w:rPr>
                      <w:t>1</w:t>
                    </w:r>
                    <w:r>
                      <w:rPr>
                        <w:color w:val="343434"/>
                        <w:spacing w:val="-28"/>
                        <w:sz w:val="20"/>
                        <w:szCs w:val="20"/>
                        <w:u w:color="343434"/>
                        <w:rtl w:val="0"/>
                        <w:lang w:val="da-DK"/>
                      </w:rPr>
                      <w:t xml:space="preserve"> </w:t>
                    </w:r>
                    <w:r>
                      <w:rPr>
                        <w:color w:val="343434"/>
                        <w:sz w:val="20"/>
                        <w:szCs w:val="20"/>
                        <w:u w:color="343434"/>
                        <w:rtl w:val="0"/>
                        <w:lang w:val="en-US"/>
                      </w:rPr>
                      <w:t>of 4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AE2" w14:textId="77777777" w:rsidR="00F9293D" w:rsidRDefault="004E5A2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A7A58D2" wp14:editId="62AE4016">
              <wp:simplePos x="0" y="0"/>
              <wp:positionH relativeFrom="page">
                <wp:posOffset>793749</wp:posOffset>
              </wp:positionH>
              <wp:positionV relativeFrom="page">
                <wp:posOffset>9896475</wp:posOffset>
              </wp:positionV>
              <wp:extent cx="6179821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1" cy="0"/>
                      </a:xfrm>
                      <a:prstGeom prst="line">
                        <a:avLst/>
                      </a:prstGeom>
                      <a:noFill/>
                      <a:ln w="915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2.5pt;margin-top:779.2pt;width:486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1DD76FD" wp14:editId="382AB070">
              <wp:simplePos x="0" y="0"/>
              <wp:positionH relativeFrom="page">
                <wp:posOffset>6109334</wp:posOffset>
              </wp:positionH>
              <wp:positionV relativeFrom="page">
                <wp:posOffset>9945368</wp:posOffset>
              </wp:positionV>
              <wp:extent cx="778510" cy="26543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65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0DCC18" w14:textId="77777777" w:rsidR="00F9293D" w:rsidRDefault="004E5A20">
                          <w:pPr>
                            <w:pStyle w:val="BodyA"/>
                            <w:spacing w:before="13"/>
                            <w:ind w:left="20"/>
                          </w:pPr>
                          <w:r>
                            <w:rPr>
                              <w:color w:val="343434"/>
                              <w:sz w:val="20"/>
                              <w:szCs w:val="20"/>
                              <w:u w:color="343434"/>
                            </w:rPr>
                            <w:t xml:space="preserve">Page </w:t>
                          </w:r>
                          <w:r>
                            <w:t>1</w:t>
                          </w:r>
                          <w:r>
                            <w:rPr>
                              <w:color w:val="343434"/>
                              <w:spacing w:val="-28"/>
                              <w:sz w:val="20"/>
                              <w:szCs w:val="20"/>
                              <w:u w:color="343434"/>
                            </w:rPr>
                            <w:t xml:space="preserve"> </w:t>
                          </w:r>
                          <w:r>
                            <w:rPr>
                              <w:color w:val="343434"/>
                              <w:sz w:val="20"/>
                              <w:szCs w:val="20"/>
                              <w:u w:color="343434"/>
                              <w:lang w:val="en-US"/>
                            </w:rPr>
                            <w:t>of 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81.0pt;margin-top:783.1pt;width:61.3pt;height:20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13"/>
                      <w:ind w:left="20" w:firstLine="0"/>
                    </w:pPr>
                    <w:r>
                      <w:rPr>
                        <w:color w:val="343434"/>
                        <w:sz w:val="20"/>
                        <w:szCs w:val="20"/>
                        <w:u w:color="343434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tl w:val="0"/>
                        <w:lang w:val="da-DK"/>
                      </w:rPr>
                      <w:t>1</w:t>
                    </w:r>
                    <w:r>
                      <w:rPr>
                        <w:color w:val="343434"/>
                        <w:spacing w:val="-28"/>
                        <w:sz w:val="20"/>
                        <w:szCs w:val="20"/>
                        <w:u w:color="343434"/>
                        <w:rtl w:val="0"/>
                        <w:lang w:val="da-DK"/>
                      </w:rPr>
                      <w:t xml:space="preserve"> </w:t>
                    </w:r>
                    <w:r>
                      <w:rPr>
                        <w:color w:val="343434"/>
                        <w:sz w:val="20"/>
                        <w:szCs w:val="20"/>
                        <w:u w:color="343434"/>
                        <w:rtl w:val="0"/>
                        <w:lang w:val="en-US"/>
                      </w:rPr>
                      <w:t>of 4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019E"/>
    <w:multiLevelType w:val="hybridMultilevel"/>
    <w:tmpl w:val="95A4339E"/>
    <w:styleLink w:val="Bullets"/>
    <w:lvl w:ilvl="0" w:tplc="A406FACA">
      <w:start w:val="1"/>
      <w:numFmt w:val="bullet"/>
      <w:lvlText w:val="•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EE9B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9D7A">
      <w:start w:val="1"/>
      <w:numFmt w:val="bullet"/>
      <w:lvlText w:val="•"/>
      <w:lvlJc w:val="left"/>
      <w:pPr>
        <w:tabs>
          <w:tab w:val="left" w:pos="720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3622">
      <w:start w:val="1"/>
      <w:numFmt w:val="bullet"/>
      <w:lvlText w:val="•"/>
      <w:lvlJc w:val="left"/>
      <w:pPr>
        <w:tabs>
          <w:tab w:val="left" w:pos="720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86F8EA">
      <w:start w:val="1"/>
      <w:numFmt w:val="bullet"/>
      <w:lvlText w:val="•"/>
      <w:lvlJc w:val="left"/>
      <w:pPr>
        <w:tabs>
          <w:tab w:val="left" w:pos="720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641B0">
      <w:start w:val="1"/>
      <w:numFmt w:val="bullet"/>
      <w:lvlText w:val="•"/>
      <w:lvlJc w:val="left"/>
      <w:pPr>
        <w:tabs>
          <w:tab w:val="left" w:pos="720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6014C">
      <w:start w:val="1"/>
      <w:numFmt w:val="bullet"/>
      <w:lvlText w:val="•"/>
      <w:lvlJc w:val="left"/>
      <w:pPr>
        <w:tabs>
          <w:tab w:val="left" w:pos="720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23DFA">
      <w:start w:val="1"/>
      <w:numFmt w:val="bullet"/>
      <w:lvlText w:val="•"/>
      <w:lvlJc w:val="left"/>
      <w:pPr>
        <w:tabs>
          <w:tab w:val="left" w:pos="720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821DA">
      <w:start w:val="1"/>
      <w:numFmt w:val="bullet"/>
      <w:lvlText w:val="•"/>
      <w:lvlJc w:val="left"/>
      <w:pPr>
        <w:tabs>
          <w:tab w:val="left" w:pos="720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D91811"/>
    <w:multiLevelType w:val="hybridMultilevel"/>
    <w:tmpl w:val="95A4339E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FA8A3E3C">
        <w:start w:val="1"/>
        <w:numFmt w:val="bullet"/>
        <w:lvlText w:val="•"/>
        <w:lvlJc w:val="left"/>
        <w:pPr>
          <w:tabs>
            <w:tab w:val="left" w:pos="720"/>
          </w:tabs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681704">
        <w:start w:val="1"/>
        <w:numFmt w:val="bullet"/>
        <w:lvlText w:val="•"/>
        <w:lvlJc w:val="left"/>
        <w:pPr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FABB38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2ADDB0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E030FE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EC4B02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36BDE6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76BC7E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EE484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FA8A3E3C">
        <w:start w:val="1"/>
        <w:numFmt w:val="bullet"/>
        <w:lvlText w:val="•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681704">
        <w:start w:val="1"/>
        <w:numFmt w:val="bullet"/>
        <w:lvlText w:val="•"/>
        <w:lvlJc w:val="left"/>
        <w:pPr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FABB38">
        <w:start w:val="1"/>
        <w:numFmt w:val="bullet"/>
        <w:lvlText w:val="•"/>
        <w:lvlJc w:val="left"/>
        <w:pPr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2ADDB0">
        <w:start w:val="1"/>
        <w:numFmt w:val="bullet"/>
        <w:lvlText w:val="•"/>
        <w:lvlJc w:val="left"/>
        <w:pPr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E030FE">
        <w:start w:val="1"/>
        <w:numFmt w:val="bullet"/>
        <w:lvlText w:val="•"/>
        <w:lvlJc w:val="left"/>
        <w:pPr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EC4B02">
        <w:start w:val="1"/>
        <w:numFmt w:val="bullet"/>
        <w:lvlText w:val="•"/>
        <w:lvlJc w:val="left"/>
        <w:pPr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36BDE6">
        <w:start w:val="1"/>
        <w:numFmt w:val="bullet"/>
        <w:lvlText w:val="•"/>
        <w:lvlJc w:val="left"/>
        <w:pPr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76BC7E">
        <w:start w:val="1"/>
        <w:numFmt w:val="bullet"/>
        <w:lvlText w:val="•"/>
        <w:lvlJc w:val="left"/>
        <w:pPr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DEE484">
        <w:start w:val="1"/>
        <w:numFmt w:val="bullet"/>
        <w:lvlText w:val="•"/>
        <w:lvlJc w:val="left"/>
        <w:pPr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3D"/>
    <w:rsid w:val="004E5A20"/>
    <w:rsid w:val="00F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1716"/>
  <w15:docId w15:val="{37BB9735-E410-4715-8D73-2E59302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a-DK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Panton</cp:lastModifiedBy>
  <cp:revision>2</cp:revision>
  <dcterms:created xsi:type="dcterms:W3CDTF">2019-09-16T08:08:00Z</dcterms:created>
  <dcterms:modified xsi:type="dcterms:W3CDTF">2019-09-16T08:08:00Z</dcterms:modified>
</cp:coreProperties>
</file>